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5A7" w:rsidRDefault="00F305A7" w:rsidP="00F305A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F305A7" w:rsidRDefault="00F305A7" w:rsidP="00F305A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F305A7" w:rsidRDefault="00F305A7" w:rsidP="00F305A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F305A7" w:rsidRDefault="00F305A7" w:rsidP="00F305A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F305A7" w:rsidRDefault="00F305A7" w:rsidP="00F305A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3960D0" w:rsidRPr="00F305A7" w:rsidRDefault="00F305A7" w:rsidP="00F305A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F305A7">
        <w:rPr>
          <w:rFonts w:ascii="Times New Roman" w:hAnsi="Times New Roman" w:cs="Times New Roman"/>
          <w:b/>
          <w:sz w:val="48"/>
          <w:szCs w:val="48"/>
          <w:lang w:val="uk-UA"/>
        </w:rPr>
        <w:t>Лабораторна робота № 2</w:t>
      </w:r>
    </w:p>
    <w:p w:rsidR="00F305A7" w:rsidRPr="00F305A7" w:rsidRDefault="00F305A7" w:rsidP="00F305A7">
      <w:pPr>
        <w:spacing w:after="0"/>
        <w:jc w:val="center"/>
        <w:rPr>
          <w:rFonts w:ascii="Times New Roman" w:hAnsi="Times New Roman" w:cs="Times New Roman"/>
          <w:i/>
          <w:sz w:val="48"/>
          <w:szCs w:val="48"/>
          <w:lang w:val="uk-UA"/>
        </w:rPr>
      </w:pPr>
      <w:r w:rsidRPr="00F305A7">
        <w:rPr>
          <w:rFonts w:ascii="Times New Roman" w:hAnsi="Times New Roman" w:cs="Times New Roman"/>
          <w:i/>
          <w:sz w:val="48"/>
          <w:szCs w:val="48"/>
          <w:lang w:val="uk-UA"/>
        </w:rPr>
        <w:t>з курсу</w:t>
      </w:r>
    </w:p>
    <w:p w:rsidR="00F305A7" w:rsidRPr="00F305A7" w:rsidRDefault="00F305A7" w:rsidP="00F305A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F305A7">
        <w:rPr>
          <w:rFonts w:ascii="Times New Roman" w:hAnsi="Times New Roman" w:cs="Times New Roman"/>
          <w:b/>
          <w:sz w:val="48"/>
          <w:szCs w:val="48"/>
          <w:lang w:val="uk-UA"/>
        </w:rPr>
        <w:t>НВЧ</w:t>
      </w:r>
    </w:p>
    <w:p w:rsidR="00F305A7" w:rsidRPr="00F305A7" w:rsidRDefault="00F305A7" w:rsidP="00F305A7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F305A7">
        <w:rPr>
          <w:rFonts w:ascii="Times New Roman" w:hAnsi="Times New Roman" w:cs="Times New Roman"/>
          <w:b/>
          <w:i/>
          <w:sz w:val="48"/>
          <w:szCs w:val="48"/>
          <w:lang w:val="uk-UA"/>
        </w:rPr>
        <w:t>Відкритий діелектричний резонатор</w:t>
      </w:r>
      <w:r w:rsidR="00495F33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НВЧ</w:t>
      </w:r>
    </w:p>
    <w:p w:rsidR="00F305A7" w:rsidRDefault="00F305A7" w:rsidP="00F305A7">
      <w:pPr>
        <w:spacing w:after="0"/>
        <w:jc w:val="center"/>
        <w:rPr>
          <w:b/>
          <w:i/>
          <w:sz w:val="48"/>
          <w:szCs w:val="48"/>
          <w:lang w:val="uk-UA"/>
        </w:rPr>
      </w:pPr>
    </w:p>
    <w:p w:rsidR="00F305A7" w:rsidRDefault="00F305A7" w:rsidP="00F305A7">
      <w:pPr>
        <w:spacing w:after="0"/>
        <w:jc w:val="center"/>
        <w:rPr>
          <w:b/>
          <w:i/>
          <w:sz w:val="48"/>
          <w:szCs w:val="48"/>
          <w:lang w:val="uk-UA"/>
        </w:rPr>
      </w:pP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Виконали:</w:t>
      </w: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студенти 4-ого курсу</w:t>
      </w: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медичної радіофізики</w:t>
      </w: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Хома Андрій, Гармаш Вікторія</w:t>
      </w: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</w:p>
    <w:p w:rsidR="00F305A7" w:rsidRDefault="00F305A7" w:rsidP="00F305A7">
      <w:pPr>
        <w:spacing w:after="0"/>
        <w:jc w:val="right"/>
        <w:rPr>
          <w:i/>
          <w:sz w:val="28"/>
          <w:szCs w:val="28"/>
          <w:lang w:val="uk-UA"/>
        </w:rPr>
      </w:pPr>
    </w:p>
    <w:p w:rsidR="00F305A7" w:rsidRDefault="00F305A7" w:rsidP="00F305A7">
      <w:pPr>
        <w:spacing w:after="0"/>
        <w:rPr>
          <w:b/>
          <w:sz w:val="28"/>
          <w:szCs w:val="28"/>
          <w:lang w:val="uk-UA"/>
        </w:rPr>
      </w:pPr>
    </w:p>
    <w:p w:rsidR="00F305A7" w:rsidRDefault="00F305A7" w:rsidP="00F305A7">
      <w:pPr>
        <w:spacing w:after="0"/>
        <w:rPr>
          <w:b/>
          <w:sz w:val="28"/>
          <w:szCs w:val="28"/>
          <w:lang w:val="uk-UA"/>
        </w:rPr>
      </w:pPr>
    </w:p>
    <w:p w:rsidR="00F305A7" w:rsidRDefault="00F305A7" w:rsidP="00F305A7">
      <w:pPr>
        <w:spacing w:after="0"/>
        <w:rPr>
          <w:b/>
          <w:sz w:val="28"/>
          <w:szCs w:val="28"/>
          <w:lang w:val="uk-UA"/>
        </w:rPr>
      </w:pPr>
    </w:p>
    <w:p w:rsidR="00F305A7" w:rsidRDefault="00F305A7" w:rsidP="00F305A7">
      <w:pPr>
        <w:spacing w:after="0"/>
        <w:rPr>
          <w:b/>
          <w:sz w:val="28"/>
          <w:szCs w:val="28"/>
          <w:lang w:val="uk-UA"/>
        </w:rPr>
      </w:pPr>
    </w:p>
    <w:p w:rsidR="00F305A7" w:rsidRDefault="00F305A7" w:rsidP="00F305A7">
      <w:pPr>
        <w:spacing w:after="0"/>
        <w:rPr>
          <w:b/>
          <w:sz w:val="28"/>
          <w:szCs w:val="28"/>
          <w:lang w:val="uk-UA"/>
        </w:rPr>
      </w:pPr>
    </w:p>
    <w:p w:rsidR="00495F33" w:rsidRDefault="00495F33" w:rsidP="00F305A7">
      <w:pPr>
        <w:spacing w:after="0"/>
        <w:rPr>
          <w:b/>
          <w:sz w:val="28"/>
          <w:szCs w:val="28"/>
          <w:lang w:val="uk-UA"/>
        </w:rPr>
      </w:pPr>
    </w:p>
    <w:p w:rsidR="00495F33" w:rsidRPr="00495F33" w:rsidRDefault="00F305A7" w:rsidP="00F305A7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95F33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Тема:</w:t>
      </w:r>
    </w:p>
    <w:p w:rsidR="00495F33" w:rsidRDefault="00495F33" w:rsidP="00F305A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Відкритий діелектричний резонатор НВЧ.</w:t>
      </w:r>
    </w:p>
    <w:p w:rsidR="00495F33" w:rsidRDefault="00495F33" w:rsidP="00F305A7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95F33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Мета:</w:t>
      </w:r>
    </w:p>
    <w:p w:rsidR="00495F33" w:rsidRDefault="00495F33" w:rsidP="00495F3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Вивчення основних властивостей та особливостей діелектричних резонаторів НВЧ.</w:t>
      </w:r>
    </w:p>
    <w:p w:rsidR="00495F33" w:rsidRDefault="00495F33" w:rsidP="00495F3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Ознайомлення з методами вимірювання добротності коливальних НВЧ систем.</w:t>
      </w:r>
    </w:p>
    <w:p w:rsidR="00495F33" w:rsidRDefault="00495F33" w:rsidP="00495F3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Виконання роботи</w:t>
      </w:r>
    </w:p>
    <w:p w:rsidR="00495F33" w:rsidRDefault="00A7347C" w:rsidP="00A734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Вимірюємо залежність коефіцієнта стоячої хвилі по напрузі та резонансної частоти від положення коротко замикаючого поршня, звідки знаходимо коефіцієнт зв</w:t>
      </w:r>
      <w:r w:rsidRPr="00A7347C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 ВДР з хвилеводом, добротність та смугу пропускання.</w:t>
      </w:r>
    </w:p>
    <w:p w:rsidR="00A7347C" w:rsidRPr="00A7347C" w:rsidRDefault="00A7347C" w:rsidP="00A734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95F33" w:rsidRPr="00495F33" w:rsidRDefault="00495F33" w:rsidP="00F305A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40" w:type="dxa"/>
        <w:tblInd w:w="-661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1060"/>
        <w:gridCol w:w="1020"/>
        <w:gridCol w:w="1040"/>
      </w:tblGrid>
      <w:tr w:rsidR="0077165B" w:rsidRPr="0077165B" w:rsidTr="0077165B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x, мм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f</w:t>
            </w:r>
            <w:proofErr w:type="gram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рез</w:t>
            </w:r>
            <w:proofErr w:type="spellEnd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, ГГц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КСХ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Q</w:t>
            </w:r>
            <w:proofErr w:type="gram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влас</w:t>
            </w:r>
            <w:proofErr w:type="spell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Q</w:t>
            </w:r>
            <w:proofErr w:type="gram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нав</w:t>
            </w:r>
            <w:proofErr w:type="spell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Q</w:t>
            </w:r>
            <w:proofErr w:type="gram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зв</w:t>
            </w:r>
            <w:proofErr w:type="spell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Δ</w:t>
            </w:r>
            <w:proofErr w:type="gramStart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f</w:t>
            </w:r>
            <w:proofErr w:type="gram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влас</w:t>
            </w:r>
            <w:proofErr w:type="spell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.</w:t>
            </w: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, МГц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Δ</w:t>
            </w:r>
            <w:proofErr w:type="gramStart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f</w:t>
            </w:r>
            <w:proofErr w:type="gram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нав</w:t>
            </w:r>
            <w:proofErr w:type="spellEnd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.</w:t>
            </w: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, МГц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Δf</w:t>
            </w:r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зв</w:t>
            </w:r>
            <w:proofErr w:type="spellEnd"/>
            <w:proofErr w:type="gramStart"/>
            <w:r w:rsidRPr="0077165B">
              <w:rPr>
                <w:rFonts w:ascii="Calibri" w:eastAsia="Times New Roman" w:hAnsi="Calibri" w:cs="Calibri"/>
                <w:color w:val="000000"/>
                <w:vertAlign w:val="subscript"/>
                <w:lang w:eastAsia="ru-RU"/>
              </w:rPr>
              <w:t>..</w:t>
            </w: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gramEnd"/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ГГц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1081,6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1039,1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227560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0,04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0,18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804,2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6173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10,83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12,38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1,41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769,9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1605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16,06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5,42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710,9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320,3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526,3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27,16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16,53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718,5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197,8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266,3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43,97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32,66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18,30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400,2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95,7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106,5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91,02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81,79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187,2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253,1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12,79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46,65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34,50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24,94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0,81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865,5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402,9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720,5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21,66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12,11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712,4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272,7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1288,4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31,99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6,77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728,5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553,7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3066,2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15,75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2,84</w:t>
            </w:r>
          </w:p>
        </w:tc>
      </w:tr>
      <w:tr w:rsidR="0077165B" w:rsidRPr="0077165B" w:rsidTr="007716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8,715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802,9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718,3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42680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12,13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65B" w:rsidRPr="0077165B" w:rsidRDefault="0077165B" w:rsidP="007716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165B">
              <w:rPr>
                <w:rFonts w:ascii="Calibri" w:eastAsia="Times New Roman" w:hAnsi="Calibri" w:cs="Calibri"/>
                <w:color w:val="000000"/>
                <w:lang w:eastAsia="ru-RU"/>
              </w:rPr>
              <w:t>0,20</w:t>
            </w:r>
          </w:p>
        </w:tc>
      </w:tr>
    </w:tbl>
    <w:p w:rsidR="0077165B" w:rsidRDefault="0077165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7165B" w:rsidRDefault="0077165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Залежність КСХ від положення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короткозамикаючого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поршня:</w:t>
      </w:r>
    </w:p>
    <w:p w:rsidR="0077165B" w:rsidRDefault="0077165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76E3B583" wp14:editId="4E2219D2">
            <wp:extent cx="4572000" cy="2743200"/>
            <wp:effectExtent l="0" t="0" r="19050" b="1905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7165B" w:rsidRDefault="0077165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7165B" w:rsidRDefault="0077165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Залежність коефіцієнта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77165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положення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короткозамикаючого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поршня:</w:t>
      </w:r>
    </w:p>
    <w:p w:rsidR="0077165B" w:rsidRDefault="0077165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4F8933EF" wp14:editId="0224D944">
            <wp:extent cx="4572000" cy="2743200"/>
            <wp:effectExtent l="0" t="0" r="19050" b="1905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7165B" w:rsidRDefault="0077165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7165B" w:rsidRDefault="0077165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Залежність добротності від положення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короткозамикаючого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поршня:</w:t>
      </w:r>
    </w:p>
    <w:p w:rsidR="0077165B" w:rsidRDefault="0077165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22E6B" w:rsidRDefault="00222E6B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0045B2B8" wp14:editId="6B3037BF">
            <wp:extent cx="4572000" cy="2743200"/>
            <wp:effectExtent l="0" t="0" r="19050" b="19050"/>
            <wp:docPr id="3" name="Діагра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04F4D" w:rsidRDefault="00004F4D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04F4D" w:rsidRDefault="00004F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4F4D" w:rsidRDefault="00004F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4F4D" w:rsidRDefault="00004F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4F4D" w:rsidRDefault="00004F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4F4D" w:rsidRDefault="00004F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4F4D" w:rsidRDefault="00004F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4F4D" w:rsidRDefault="00004F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4F4D" w:rsidRDefault="00004F4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Залежність ширини смуги пропускання від положення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короткозамикаючого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поршня:</w:t>
      </w:r>
    </w:p>
    <w:p w:rsidR="0077165B" w:rsidRPr="0077165B" w:rsidRDefault="00004F4D" w:rsidP="0077165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67DA0AD0" wp14:editId="7CB3C8DA">
            <wp:extent cx="4572000" cy="2743200"/>
            <wp:effectExtent l="0" t="0" r="19050" b="19050"/>
            <wp:docPr id="4" name="Діагра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771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305A7" w:rsidRDefault="00F305A7" w:rsidP="00F305A7">
      <w:pPr>
        <w:jc w:val="center"/>
        <w:rPr>
          <w:sz w:val="28"/>
          <w:szCs w:val="28"/>
          <w:lang w:val="uk-UA"/>
        </w:rPr>
      </w:pPr>
    </w:p>
    <w:p w:rsidR="00004F4D" w:rsidRDefault="00004F4D" w:rsidP="00004F4D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Висновок:</w:t>
      </w:r>
    </w:p>
    <w:p w:rsidR="00004F4D" w:rsidRDefault="00004F4D" w:rsidP="00004F4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даній лабораторній роботі було вивчено основні властивості та особливості діелектричних резонаторів НВЧ.  </w:t>
      </w:r>
    </w:p>
    <w:p w:rsidR="00004F4D" w:rsidRDefault="00004F4D" w:rsidP="00004F4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Було виконано ознайомлення з основними методами вимірювання добротності коливальних НВЧ систем.</w:t>
      </w:r>
    </w:p>
    <w:p w:rsidR="00004F4D" w:rsidRDefault="00004F4D" w:rsidP="00004F4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Було знято залежність коефіцієнта стоячої хвилі по напрузі від положення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короткозамикаючого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поршня.</w:t>
      </w:r>
    </w:p>
    <w:p w:rsidR="00004F4D" w:rsidRPr="00004F4D" w:rsidRDefault="00004F4D" w:rsidP="00004F4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цих залежностей було обраховано та побудовано залежності коефіцієнта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004F4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ВДР з хвилеводом, добротності та ширини смуги пропускання від положення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короткозамикаючого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поршня.</w:t>
      </w:r>
      <w:bookmarkStart w:id="0" w:name="_GoBack"/>
      <w:bookmarkEnd w:id="0"/>
    </w:p>
    <w:sectPr w:rsidR="00004F4D" w:rsidRPr="00004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26023"/>
    <w:multiLevelType w:val="hybridMultilevel"/>
    <w:tmpl w:val="91AE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8D"/>
    <w:rsid w:val="00004F4D"/>
    <w:rsid w:val="00126D8D"/>
    <w:rsid w:val="0018725E"/>
    <w:rsid w:val="00222E6B"/>
    <w:rsid w:val="00495F33"/>
    <w:rsid w:val="0077165B"/>
    <w:rsid w:val="0078657D"/>
    <w:rsid w:val="00A7347C"/>
    <w:rsid w:val="00F3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F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1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716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F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1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716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0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85;i&#1074;&#1077;&#1088;\&#1042;&#1110;&#1085;&#1085;&#1110;%20&#1055;&#1091;&#1093;\&#1051;&#1072;&#1073;&#1072;%202\&#1040;&#1088;&#1082;&#1091;&#1096;%20Microsoft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85;i&#1074;&#1077;&#1088;\&#1042;&#1110;&#1085;&#1085;&#1110;%20&#1055;&#1091;&#1093;\&#1051;&#1072;&#1073;&#1072;%202\&#1040;&#1088;&#1082;&#1091;&#1096;%20Microsoft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85;i&#1074;&#1077;&#1088;\&#1042;&#1110;&#1085;&#1085;&#1110;%20&#1055;&#1091;&#1093;\&#1051;&#1072;&#1073;&#1072;%202\&#1040;&#1088;&#1082;&#1091;&#1096;%20Microsoft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85;i&#1074;&#1077;&#1088;\&#1042;&#1110;&#1085;&#1085;&#1110;%20&#1055;&#1091;&#1093;\&#1051;&#1072;&#1073;&#1072;%202\&#1040;&#1088;&#1082;&#1091;&#1096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Аркуш1!$A$3:$A$13</c:f>
              <c:numCache>
                <c:formatCode># ##0,00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11.07</c:v>
                </c:pt>
                <c:pt idx="4">
                  <c:v>13</c:v>
                </c:pt>
                <c:pt idx="5">
                  <c:v>18.3</c:v>
                </c:pt>
                <c:pt idx="6">
                  <c:v>21.8</c:v>
                </c:pt>
                <c:pt idx="7">
                  <c:v>24.94</c:v>
                </c:pt>
                <c:pt idx="8">
                  <c:v>25.6</c:v>
                </c:pt>
                <c:pt idx="9">
                  <c:v>26</c:v>
                </c:pt>
                <c:pt idx="10">
                  <c:v>27</c:v>
                </c:pt>
              </c:numCache>
            </c:numRef>
          </c:xVal>
          <c:yVal>
            <c:numRef>
              <c:f>Аркуш1!$C$3:$C$13</c:f>
              <c:numCache>
                <c:formatCode>Основной</c:formatCode>
                <c:ptCount val="11"/>
                <c:pt idx="0">
                  <c:v>21.95</c:v>
                </c:pt>
                <c:pt idx="1">
                  <c:v>5.66</c:v>
                </c:pt>
                <c:pt idx="2">
                  <c:v>2.16</c:v>
                </c:pt>
                <c:pt idx="3">
                  <c:v>1.43</c:v>
                </c:pt>
                <c:pt idx="4">
                  <c:v>2.72</c:v>
                </c:pt>
                <c:pt idx="5">
                  <c:v>5.58</c:v>
                </c:pt>
                <c:pt idx="6">
                  <c:v>2.72</c:v>
                </c:pt>
                <c:pt idx="7">
                  <c:v>1.23</c:v>
                </c:pt>
                <c:pt idx="8">
                  <c:v>1.01</c:v>
                </c:pt>
                <c:pt idx="9">
                  <c:v>3.35</c:v>
                </c:pt>
                <c:pt idx="10">
                  <c:v>10.49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1157760"/>
        <c:axId val="136619136"/>
      </c:scatterChart>
      <c:valAx>
        <c:axId val="1511577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х, мм</a:t>
                </a:r>
              </a:p>
            </c:rich>
          </c:tx>
          <c:overlay val="0"/>
        </c:title>
        <c:numFmt formatCode="# ##0,00" sourceLinked="1"/>
        <c:majorTickMark val="out"/>
        <c:minorTickMark val="none"/>
        <c:tickLblPos val="nextTo"/>
        <c:crossAx val="136619136"/>
        <c:crosses val="autoZero"/>
        <c:crossBetween val="midCat"/>
      </c:valAx>
      <c:valAx>
        <c:axId val="13661913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КСХ</a:t>
                </a:r>
              </a:p>
            </c:rich>
          </c:tx>
          <c:overlay val="0"/>
        </c:title>
        <c:numFmt formatCode="Основной" sourceLinked="1"/>
        <c:majorTickMark val="out"/>
        <c:minorTickMark val="none"/>
        <c:tickLblPos val="nextTo"/>
        <c:crossAx val="15115776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875240594925635"/>
          <c:y val="8.8437591134441523E-2"/>
          <c:w val="0.78683792650918638"/>
          <c:h val="0.73444808982210552"/>
        </c:manualLayout>
      </c:layout>
      <c:scatterChart>
        <c:scatterStyle val="smoothMarker"/>
        <c:varyColors val="0"/>
        <c:ser>
          <c:idx val="0"/>
          <c:order val="0"/>
          <c:xVal>
            <c:numRef>
              <c:f>Аркуш1!$A$3:$A$13</c:f>
              <c:numCache>
                <c:formatCode># ##0,00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11.07</c:v>
                </c:pt>
                <c:pt idx="4">
                  <c:v>13</c:v>
                </c:pt>
                <c:pt idx="5">
                  <c:v>18.3</c:v>
                </c:pt>
                <c:pt idx="6">
                  <c:v>21.8</c:v>
                </c:pt>
                <c:pt idx="7">
                  <c:v>24.94</c:v>
                </c:pt>
                <c:pt idx="8">
                  <c:v>25.6</c:v>
                </c:pt>
                <c:pt idx="9">
                  <c:v>26</c:v>
                </c:pt>
                <c:pt idx="10">
                  <c:v>27</c:v>
                </c:pt>
              </c:numCache>
            </c:numRef>
          </c:xVal>
          <c:yVal>
            <c:numRef>
              <c:f>Аркуш1!$D$3:$D$13</c:f>
              <c:numCache>
                <c:formatCode>0,00</c:formatCode>
                <c:ptCount val="11"/>
                <c:pt idx="0">
                  <c:v>4.5558086560364468E-2</c:v>
                </c:pt>
                <c:pt idx="1">
                  <c:v>0.17667844522968199</c:v>
                </c:pt>
                <c:pt idx="2">
                  <c:v>0.46296296296296291</c:v>
                </c:pt>
                <c:pt idx="3">
                  <c:v>1.43</c:v>
                </c:pt>
                <c:pt idx="4">
                  <c:v>2.72</c:v>
                </c:pt>
                <c:pt idx="5">
                  <c:v>5.58</c:v>
                </c:pt>
                <c:pt idx="6">
                  <c:v>2.72</c:v>
                </c:pt>
                <c:pt idx="7">
                  <c:v>0.81300813008130079</c:v>
                </c:pt>
                <c:pt idx="8">
                  <c:v>0.99009900990099009</c:v>
                </c:pt>
                <c:pt idx="9">
                  <c:v>0.29850746268656714</c:v>
                </c:pt>
                <c:pt idx="10">
                  <c:v>9.532888465204957E-2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4537088"/>
        <c:axId val="164539008"/>
      </c:scatterChart>
      <c:valAx>
        <c:axId val="1645370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х, мм</a:t>
                </a:r>
              </a:p>
            </c:rich>
          </c:tx>
          <c:overlay val="0"/>
        </c:title>
        <c:numFmt formatCode="# ##0,00" sourceLinked="1"/>
        <c:majorTickMark val="out"/>
        <c:minorTickMark val="none"/>
        <c:tickLblPos val="nextTo"/>
        <c:crossAx val="164539008"/>
        <c:crosses val="autoZero"/>
        <c:crossBetween val="midCat"/>
      </c:valAx>
      <c:valAx>
        <c:axId val="16453900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l-GR"/>
                  <a:t>β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9444444444444445E-2"/>
              <c:y val="0.42046478565179352"/>
            </c:manualLayout>
          </c:layout>
          <c:overlay val="0"/>
        </c:title>
        <c:numFmt formatCode="0,00" sourceLinked="1"/>
        <c:majorTickMark val="out"/>
        <c:minorTickMark val="none"/>
        <c:tickLblPos val="nextTo"/>
        <c:crossAx val="16453708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875240594925635"/>
          <c:y val="8.3807961504811887E-2"/>
          <c:w val="0.68406014873140852"/>
          <c:h val="0.70667031204432784"/>
        </c:manualLayout>
      </c:layout>
      <c:scatterChart>
        <c:scatterStyle val="smoothMarker"/>
        <c:varyColors val="0"/>
        <c:ser>
          <c:idx val="0"/>
          <c:order val="0"/>
          <c:tx>
            <c:v>Qвлас.</c:v>
          </c:tx>
          <c:spPr>
            <a:ln>
              <a:prstDash val="dash"/>
            </a:ln>
          </c:spPr>
          <c:xVal>
            <c:numRef>
              <c:f>Аркуш1!$A$3:$A$13</c:f>
              <c:numCache>
                <c:formatCode># ##0,00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11.07</c:v>
                </c:pt>
                <c:pt idx="4">
                  <c:v>13</c:v>
                </c:pt>
                <c:pt idx="5">
                  <c:v>18.3</c:v>
                </c:pt>
                <c:pt idx="6">
                  <c:v>21.8</c:v>
                </c:pt>
                <c:pt idx="7">
                  <c:v>24.94</c:v>
                </c:pt>
                <c:pt idx="8">
                  <c:v>25.6</c:v>
                </c:pt>
                <c:pt idx="9">
                  <c:v>26</c:v>
                </c:pt>
                <c:pt idx="10">
                  <c:v>27</c:v>
                </c:pt>
              </c:numCache>
            </c:numRef>
          </c:xVal>
          <c:yVal>
            <c:numRef>
              <c:f>Аркуш1!$E$3:$E$13</c:f>
              <c:numCache>
                <c:formatCode>Основной</c:formatCode>
                <c:ptCount val="11"/>
                <c:pt idx="0">
                  <c:v>1081.5999999999999</c:v>
                </c:pt>
                <c:pt idx="1">
                  <c:v>804.2</c:v>
                </c:pt>
                <c:pt idx="2">
                  <c:v>769.9</c:v>
                </c:pt>
                <c:pt idx="3">
                  <c:v>710.9</c:v>
                </c:pt>
                <c:pt idx="4">
                  <c:v>718.5</c:v>
                </c:pt>
                <c:pt idx="5">
                  <c:v>400.2</c:v>
                </c:pt>
                <c:pt idx="6">
                  <c:v>683</c:v>
                </c:pt>
                <c:pt idx="7">
                  <c:v>865.5</c:v>
                </c:pt>
                <c:pt idx="8">
                  <c:v>712.4</c:v>
                </c:pt>
                <c:pt idx="9">
                  <c:v>728.5</c:v>
                </c:pt>
                <c:pt idx="10">
                  <c:v>802.9</c:v>
                </c:pt>
              </c:numCache>
            </c:numRef>
          </c:yVal>
          <c:smooth val="1"/>
        </c:ser>
        <c:ser>
          <c:idx val="1"/>
          <c:order val="1"/>
          <c:tx>
            <c:v>Qнав.</c:v>
          </c:tx>
          <c:spPr>
            <a:ln>
              <a:prstDash val="sysDot"/>
            </a:ln>
          </c:spPr>
          <c:xVal>
            <c:numRef>
              <c:f>Аркуш1!$A$3:$A$13</c:f>
              <c:numCache>
                <c:formatCode># ##0,00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11.07</c:v>
                </c:pt>
                <c:pt idx="4">
                  <c:v>13</c:v>
                </c:pt>
                <c:pt idx="5">
                  <c:v>18.3</c:v>
                </c:pt>
                <c:pt idx="6">
                  <c:v>21.8</c:v>
                </c:pt>
                <c:pt idx="7">
                  <c:v>24.94</c:v>
                </c:pt>
                <c:pt idx="8">
                  <c:v>25.6</c:v>
                </c:pt>
                <c:pt idx="9">
                  <c:v>26</c:v>
                </c:pt>
                <c:pt idx="10">
                  <c:v>27</c:v>
                </c:pt>
              </c:numCache>
            </c:numRef>
          </c:xVal>
          <c:yVal>
            <c:numRef>
              <c:f>Аркуш1!$F$3:$F$13</c:f>
              <c:numCache>
                <c:formatCode>Основной</c:formatCode>
                <c:ptCount val="11"/>
                <c:pt idx="0">
                  <c:v>1039.0999999999999</c:v>
                </c:pt>
                <c:pt idx="1">
                  <c:v>703</c:v>
                </c:pt>
                <c:pt idx="2">
                  <c:v>542</c:v>
                </c:pt>
                <c:pt idx="3">
                  <c:v>320.3</c:v>
                </c:pt>
                <c:pt idx="4">
                  <c:v>197.8</c:v>
                </c:pt>
                <c:pt idx="5">
                  <c:v>95.7</c:v>
                </c:pt>
                <c:pt idx="6">
                  <c:v>187.2</c:v>
                </c:pt>
                <c:pt idx="7">
                  <c:v>402.9</c:v>
                </c:pt>
                <c:pt idx="8">
                  <c:v>272.7</c:v>
                </c:pt>
                <c:pt idx="9">
                  <c:v>553.70000000000005</c:v>
                </c:pt>
                <c:pt idx="10">
                  <c:v>718.3</c:v>
                </c:pt>
              </c:numCache>
            </c:numRef>
          </c:yVal>
          <c:smooth val="1"/>
        </c:ser>
        <c:ser>
          <c:idx val="2"/>
          <c:order val="2"/>
          <c:tx>
            <c:v>Qзв.</c:v>
          </c:tx>
          <c:spPr>
            <a:ln>
              <a:prstDash val="solid"/>
            </a:ln>
          </c:spPr>
          <c:xVal>
            <c:numRef>
              <c:f>Аркуш1!$A$3:$A$13</c:f>
              <c:numCache>
                <c:formatCode># ##0,00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11.07</c:v>
                </c:pt>
                <c:pt idx="4">
                  <c:v>13</c:v>
                </c:pt>
                <c:pt idx="5">
                  <c:v>18.3</c:v>
                </c:pt>
                <c:pt idx="6">
                  <c:v>21.8</c:v>
                </c:pt>
                <c:pt idx="7">
                  <c:v>24.94</c:v>
                </c:pt>
                <c:pt idx="8">
                  <c:v>25.6</c:v>
                </c:pt>
                <c:pt idx="9">
                  <c:v>26</c:v>
                </c:pt>
                <c:pt idx="10">
                  <c:v>27</c:v>
                </c:pt>
              </c:numCache>
            </c:numRef>
          </c:xVal>
          <c:yVal>
            <c:numRef>
              <c:f>Аркуш1!$G$3:$G$13</c:f>
              <c:numCache>
                <c:formatCode>Основной</c:formatCode>
                <c:ptCount val="11"/>
                <c:pt idx="0">
                  <c:v>227560</c:v>
                </c:pt>
                <c:pt idx="1">
                  <c:v>6173</c:v>
                </c:pt>
                <c:pt idx="2">
                  <c:v>1605</c:v>
                </c:pt>
                <c:pt idx="3">
                  <c:v>526.29999999999995</c:v>
                </c:pt>
                <c:pt idx="4">
                  <c:v>266.3</c:v>
                </c:pt>
                <c:pt idx="5">
                  <c:v>106.5</c:v>
                </c:pt>
                <c:pt idx="6">
                  <c:v>253.1</c:v>
                </c:pt>
                <c:pt idx="7">
                  <c:v>720.5</c:v>
                </c:pt>
                <c:pt idx="8">
                  <c:v>1288.4000000000001</c:v>
                </c:pt>
                <c:pt idx="9">
                  <c:v>3066.2</c:v>
                </c:pt>
                <c:pt idx="10">
                  <c:v>42680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5019648"/>
        <c:axId val="165021568"/>
      </c:scatterChart>
      <c:valAx>
        <c:axId val="165019648"/>
        <c:scaling>
          <c:orientation val="minMax"/>
          <c:max val="3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х, мм</a:t>
                </a:r>
              </a:p>
            </c:rich>
          </c:tx>
          <c:overlay val="0"/>
        </c:title>
        <c:numFmt formatCode="# ##0,00" sourceLinked="1"/>
        <c:majorTickMark val="out"/>
        <c:minorTickMark val="none"/>
        <c:tickLblPos val="nextTo"/>
        <c:crossAx val="165021568"/>
        <c:crosses val="autoZero"/>
        <c:crossBetween val="midCat"/>
      </c:valAx>
      <c:valAx>
        <c:axId val="165021568"/>
        <c:scaling>
          <c:orientation val="minMax"/>
          <c:max val="3000"/>
          <c:min val="0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Q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9444444444444445E-2"/>
              <c:y val="0.42046478565179352"/>
            </c:manualLayout>
          </c:layout>
          <c:overlay val="0"/>
        </c:title>
        <c:numFmt formatCode="Основной" sourceLinked="1"/>
        <c:majorTickMark val="out"/>
        <c:minorTickMark val="none"/>
        <c:tickLblPos val="nextTo"/>
        <c:crossAx val="16501964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1764129483814523"/>
          <c:y val="7.9178331875182265E-2"/>
          <c:w val="0.59517125984251973"/>
          <c:h val="0.71129994167395738"/>
        </c:manualLayout>
      </c:layout>
      <c:scatterChart>
        <c:scatterStyle val="smoothMarker"/>
        <c:varyColors val="0"/>
        <c:ser>
          <c:idx val="0"/>
          <c:order val="0"/>
          <c:tx>
            <c:v>Δfвлас.</c:v>
          </c:tx>
          <c:spPr>
            <a:ln>
              <a:prstDash val="dash"/>
            </a:ln>
          </c:spPr>
          <c:xVal>
            <c:numRef>
              <c:f>Аркуш1!$A$3:$A$13</c:f>
              <c:numCache>
                <c:formatCode># ##0,00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11.07</c:v>
                </c:pt>
                <c:pt idx="4">
                  <c:v>13</c:v>
                </c:pt>
                <c:pt idx="5">
                  <c:v>18.3</c:v>
                </c:pt>
                <c:pt idx="6">
                  <c:v>21.8</c:v>
                </c:pt>
                <c:pt idx="7">
                  <c:v>24.94</c:v>
                </c:pt>
                <c:pt idx="8">
                  <c:v>25.6</c:v>
                </c:pt>
                <c:pt idx="9">
                  <c:v>26</c:v>
                </c:pt>
                <c:pt idx="10">
                  <c:v>27</c:v>
                </c:pt>
              </c:numCache>
            </c:numRef>
          </c:xVal>
          <c:yVal>
            <c:numRef>
              <c:f>Аркуш1!$H$3:$H$13</c:f>
              <c:numCache>
                <c:formatCode>0,00</c:formatCode>
                <c:ptCount val="11"/>
                <c:pt idx="0">
                  <c:v>8.0528846153846168</c:v>
                </c:pt>
                <c:pt idx="1">
                  <c:v>10.825665257398656</c:v>
                </c:pt>
                <c:pt idx="2">
                  <c:v>11.306663203013379</c:v>
                </c:pt>
                <c:pt idx="3">
                  <c:v>12.238008158672105</c:v>
                </c:pt>
                <c:pt idx="4">
                  <c:v>12.10438413361169</c:v>
                </c:pt>
                <c:pt idx="5">
                  <c:v>21.766616691654175</c:v>
                </c:pt>
                <c:pt idx="6">
                  <c:v>12.786237188872621</c:v>
                </c:pt>
                <c:pt idx="7">
                  <c:v>10.082033506643558</c:v>
                </c:pt>
                <c:pt idx="8">
                  <c:v>12.247332959011791</c:v>
                </c:pt>
                <c:pt idx="9">
                  <c:v>11.971173644474948</c:v>
                </c:pt>
                <c:pt idx="10">
                  <c:v>10.854402789886661</c:v>
                </c:pt>
              </c:numCache>
            </c:numRef>
          </c:yVal>
          <c:smooth val="1"/>
        </c:ser>
        <c:ser>
          <c:idx val="1"/>
          <c:order val="1"/>
          <c:tx>
            <c:v>Δfнав.</c:v>
          </c:tx>
          <c:spPr>
            <a:ln>
              <a:prstDash val="sysDot"/>
            </a:ln>
          </c:spPr>
          <c:xVal>
            <c:numRef>
              <c:f>Аркуш1!$A$3:$A$13</c:f>
              <c:numCache>
                <c:formatCode># ##0,00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11.07</c:v>
                </c:pt>
                <c:pt idx="4">
                  <c:v>13</c:v>
                </c:pt>
                <c:pt idx="5">
                  <c:v>18.3</c:v>
                </c:pt>
                <c:pt idx="6">
                  <c:v>21.8</c:v>
                </c:pt>
                <c:pt idx="7">
                  <c:v>24.94</c:v>
                </c:pt>
                <c:pt idx="8">
                  <c:v>25.6</c:v>
                </c:pt>
                <c:pt idx="9">
                  <c:v>26</c:v>
                </c:pt>
                <c:pt idx="10">
                  <c:v>27</c:v>
                </c:pt>
              </c:numCache>
            </c:numRef>
          </c:xVal>
          <c:yVal>
            <c:numRef>
              <c:f>Аркуш1!$I$3:$I$13</c:f>
              <c:numCache>
                <c:formatCode>0,00</c:formatCode>
                <c:ptCount val="11"/>
                <c:pt idx="0">
                  <c:v>8.3822538735444141</c:v>
                </c:pt>
                <c:pt idx="1">
                  <c:v>12.38406827880512</c:v>
                </c:pt>
                <c:pt idx="2">
                  <c:v>16.06088560885609</c:v>
                </c:pt>
                <c:pt idx="3">
                  <c:v>27.162035591632844</c:v>
                </c:pt>
                <c:pt idx="4">
                  <c:v>43.968655207280079</c:v>
                </c:pt>
                <c:pt idx="5">
                  <c:v>91.024033437826532</c:v>
                </c:pt>
                <c:pt idx="6">
                  <c:v>46.650641025641029</c:v>
                </c:pt>
                <c:pt idx="7">
                  <c:v>21.657979647555226</c:v>
                </c:pt>
                <c:pt idx="8">
                  <c:v>31.994866153281997</c:v>
                </c:pt>
                <c:pt idx="9">
                  <c:v>15.750406357233157</c:v>
                </c:pt>
                <c:pt idx="10">
                  <c:v>12.132813587637479</c:v>
                </c:pt>
              </c:numCache>
            </c:numRef>
          </c:yVal>
          <c:smooth val="1"/>
        </c:ser>
        <c:ser>
          <c:idx val="2"/>
          <c:order val="2"/>
          <c:tx>
            <c:v>Δfзв.</c:v>
          </c:tx>
          <c:spPr>
            <a:ln>
              <a:prstDash val="solid"/>
            </a:ln>
          </c:spPr>
          <c:xVal>
            <c:numRef>
              <c:f>Аркуш1!$A$3:$A$13</c:f>
              <c:numCache>
                <c:formatCode># ##0,00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11.07</c:v>
                </c:pt>
                <c:pt idx="4">
                  <c:v>13</c:v>
                </c:pt>
                <c:pt idx="5">
                  <c:v>18.3</c:v>
                </c:pt>
                <c:pt idx="6">
                  <c:v>21.8</c:v>
                </c:pt>
                <c:pt idx="7">
                  <c:v>24.94</c:v>
                </c:pt>
                <c:pt idx="8">
                  <c:v>25.6</c:v>
                </c:pt>
                <c:pt idx="9">
                  <c:v>26</c:v>
                </c:pt>
                <c:pt idx="10">
                  <c:v>27</c:v>
                </c:pt>
              </c:numCache>
            </c:numRef>
          </c:xVal>
          <c:yVal>
            <c:numRef>
              <c:f>Аркуш1!$J$3:$J$13</c:f>
              <c:numCache>
                <c:formatCode>0,00</c:formatCode>
                <c:ptCount val="11"/>
                <c:pt idx="0">
                  <c:v>3.8275619616804361E-2</c:v>
                </c:pt>
                <c:pt idx="1">
                  <c:v>1.4103353312813867</c:v>
                </c:pt>
                <c:pt idx="2">
                  <c:v>5.4236760124610592</c:v>
                </c:pt>
                <c:pt idx="3">
                  <c:v>16.530495914877449</c:v>
                </c:pt>
                <c:pt idx="4">
                  <c:v>32.658655651520839</c:v>
                </c:pt>
                <c:pt idx="5">
                  <c:v>81.793427230046944</c:v>
                </c:pt>
                <c:pt idx="6">
                  <c:v>34.50414855788226</c:v>
                </c:pt>
                <c:pt idx="7">
                  <c:v>12.111034004163775</c:v>
                </c:pt>
                <c:pt idx="8">
                  <c:v>6.7719652281900027</c:v>
                </c:pt>
                <c:pt idx="9">
                  <c:v>2.8442371665253412</c:v>
                </c:pt>
                <c:pt idx="10">
                  <c:v>0.20419400187441425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5059968"/>
        <c:axId val="165070336"/>
      </c:scatterChart>
      <c:valAx>
        <c:axId val="165059968"/>
        <c:scaling>
          <c:orientation val="minMax"/>
          <c:max val="3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х, мм</a:t>
                </a:r>
              </a:p>
            </c:rich>
          </c:tx>
          <c:overlay val="0"/>
        </c:title>
        <c:numFmt formatCode="# ##0,00" sourceLinked="1"/>
        <c:majorTickMark val="out"/>
        <c:minorTickMark val="none"/>
        <c:tickLblPos val="nextTo"/>
        <c:crossAx val="165070336"/>
        <c:crosses val="autoZero"/>
        <c:crossBetween val="midCat"/>
      </c:valAx>
      <c:valAx>
        <c:axId val="165070336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l-GR"/>
                  <a:t>Δ</a:t>
                </a:r>
                <a:r>
                  <a:rPr lang="en-US"/>
                  <a:t>f</a:t>
                </a:r>
                <a:r>
                  <a:rPr lang="ru-RU"/>
                  <a:t>,</a:t>
                </a:r>
                <a:r>
                  <a:rPr lang="ru-RU" baseline="0"/>
                  <a:t> МГц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0.42046478565179352"/>
            </c:manualLayout>
          </c:layout>
          <c:overlay val="0"/>
        </c:title>
        <c:numFmt formatCode="0,00" sourceLinked="1"/>
        <c:majorTickMark val="out"/>
        <c:minorTickMark val="none"/>
        <c:tickLblPos val="nextTo"/>
        <c:crossAx val="16505996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2012-04-30T20:08:00Z</dcterms:created>
  <dcterms:modified xsi:type="dcterms:W3CDTF">2012-04-30T23:15:00Z</dcterms:modified>
</cp:coreProperties>
</file>